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8BF488" w14:textId="5168BE1F" w:rsidR="00BD6428" w:rsidRPr="00BD6428" w:rsidRDefault="00BD6428" w:rsidP="009D11D4">
      <w:pPr>
        <w:spacing w:after="0" w:line="240" w:lineRule="auto"/>
        <w:jc w:val="center"/>
        <w:rPr>
          <w:b/>
          <w:color w:val="3B6B27"/>
          <w:sz w:val="40"/>
          <w:szCs w:val="40"/>
        </w:rPr>
      </w:pPr>
      <w:r w:rsidRPr="00CD7DEE">
        <w:rPr>
          <w:b/>
          <w:noProof/>
          <w:color w:val="3B6B27"/>
          <w:sz w:val="40"/>
          <w:szCs w:val="40"/>
          <w:lang w:val="en-GB" w:eastAsia="en-GB"/>
        </w:rPr>
        <w:drawing>
          <wp:anchor distT="0" distB="0" distL="114300" distR="114300" simplePos="0" relativeHeight="251659264" behindDoc="0" locked="0" layoutInCell="1" allowOverlap="1" wp14:anchorId="0248D94D" wp14:editId="58167892">
            <wp:simplePos x="0" y="0"/>
            <wp:positionH relativeFrom="column">
              <wp:posOffset>5104765</wp:posOffset>
            </wp:positionH>
            <wp:positionV relativeFrom="paragraph">
              <wp:posOffset>-380365</wp:posOffset>
            </wp:positionV>
            <wp:extent cx="1508125" cy="978535"/>
            <wp:effectExtent l="0" t="0" r="0" b="0"/>
            <wp:wrapNone/>
            <wp:docPr id="1" name="Picture 1" descr="C:\Users\padilha\Desktop\Rui\UN Logos\3RP 2017\3RP (2017-20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adilha\Desktop\Rui\UN Logos\3RP 2017\3RP (2017-2018).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08125" cy="9785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D6428">
        <w:rPr>
          <w:b/>
          <w:color w:val="3B6B27"/>
          <w:sz w:val="40"/>
          <w:szCs w:val="40"/>
        </w:rPr>
        <w:t>3RP 2017-2018 PLANNING</w:t>
      </w:r>
    </w:p>
    <w:p w14:paraId="0589A6AA" w14:textId="6B87BCF4" w:rsidR="00DF39B6" w:rsidRDefault="00BF4FE4" w:rsidP="009D11D4">
      <w:pPr>
        <w:spacing w:after="0" w:line="240" w:lineRule="auto"/>
        <w:jc w:val="center"/>
        <w:rPr>
          <w:b/>
          <w:color w:val="3B6B27"/>
          <w:sz w:val="40"/>
          <w:szCs w:val="40"/>
        </w:rPr>
      </w:pPr>
      <w:r w:rsidRPr="00CD7DEE">
        <w:rPr>
          <w:b/>
          <w:color w:val="3B6B27"/>
          <w:sz w:val="40"/>
          <w:szCs w:val="40"/>
        </w:rPr>
        <w:t>GUIDANCE NOTE</w:t>
      </w:r>
      <w:r w:rsidR="00150FDE" w:rsidRPr="00CD7DEE">
        <w:rPr>
          <w:b/>
          <w:color w:val="3B6B27"/>
          <w:sz w:val="40"/>
          <w:szCs w:val="40"/>
        </w:rPr>
        <w:t xml:space="preserve"> </w:t>
      </w:r>
      <w:r w:rsidR="00632C7C" w:rsidRPr="00CD7DEE">
        <w:rPr>
          <w:b/>
          <w:color w:val="3B6B27"/>
          <w:sz w:val="40"/>
          <w:szCs w:val="40"/>
        </w:rPr>
        <w:t>5</w:t>
      </w:r>
    </w:p>
    <w:p w14:paraId="632D9E2D" w14:textId="77777777" w:rsidR="009D11D4" w:rsidRPr="009D11D4" w:rsidRDefault="009D11D4" w:rsidP="009D11D4">
      <w:pPr>
        <w:spacing w:after="0" w:line="240" w:lineRule="auto"/>
        <w:jc w:val="center"/>
      </w:pPr>
    </w:p>
    <w:p w14:paraId="62570212" w14:textId="024FCE15" w:rsidR="003F543C" w:rsidRPr="00CD7DEE" w:rsidRDefault="00DD4F6F" w:rsidP="009D11D4">
      <w:pPr>
        <w:spacing w:after="0" w:line="240" w:lineRule="auto"/>
        <w:jc w:val="center"/>
        <w:rPr>
          <w:b/>
          <w:color w:val="9AC31C"/>
          <w:sz w:val="32"/>
          <w:szCs w:val="32"/>
        </w:rPr>
      </w:pPr>
      <w:r w:rsidRPr="00CD7DEE">
        <w:rPr>
          <w:b/>
          <w:color w:val="9AC31C"/>
          <w:sz w:val="32"/>
          <w:szCs w:val="32"/>
        </w:rPr>
        <w:t>Budgeting</w:t>
      </w:r>
    </w:p>
    <w:p w14:paraId="72F9A0E8" w14:textId="77777777" w:rsidR="00C33355" w:rsidRPr="005F68BE" w:rsidRDefault="00C33355" w:rsidP="009D11D4">
      <w:pPr>
        <w:spacing w:after="0" w:line="240" w:lineRule="auto"/>
        <w:jc w:val="both"/>
      </w:pPr>
    </w:p>
    <w:p w14:paraId="1C46AB11" w14:textId="3F6633D1" w:rsidR="00A26582" w:rsidRDefault="00A26582" w:rsidP="00A7468F">
      <w:pPr>
        <w:pStyle w:val="NoSpacing"/>
        <w:spacing w:after="120"/>
        <w:jc w:val="both"/>
      </w:pPr>
      <w:r>
        <w:t xml:space="preserve">The guidance below is designed to ensure a credible and realistic overall appeal </w:t>
      </w:r>
      <w:r w:rsidR="00650098">
        <w:t>for 2017-2018</w:t>
      </w:r>
      <w:r>
        <w:t xml:space="preserve">. </w:t>
      </w:r>
      <w:r w:rsidR="00AB09A9">
        <w:t>With increasing pressure on humanitarian and development donor budgets, t</w:t>
      </w:r>
      <w:r w:rsidR="00AB09A9" w:rsidRPr="00AB09A9">
        <w:t>he 3RP must be a defensible therefore realistic relative to its implementation and to its contributions to the overall situation</w:t>
      </w:r>
      <w:r w:rsidR="00AB09A9">
        <w:t>. As the overall Syrian refugee population in the region is not expected to grow significantly in the course of the next two years, sector and country plans which propose budget increases should prepare strong justifications for such increases.</w:t>
      </w:r>
      <w:r w:rsidR="0063194C">
        <w:t xml:space="preserve"> </w:t>
      </w:r>
      <w:r>
        <w:t xml:space="preserve">Note that this guidance </w:t>
      </w:r>
      <w:r w:rsidR="000F63BF">
        <w:t xml:space="preserve">is </w:t>
      </w:r>
      <w:r>
        <w:t>for UN/NGOs developing 3RP chapters or interagency appeals in support of national plans. It is not intended as advice or instructions to governments on developing national plans or budgets.</w:t>
      </w:r>
      <w:r w:rsidR="00624914">
        <w:t xml:space="preserve"> In line with </w:t>
      </w:r>
      <w:r w:rsidR="00DD19B1">
        <w:t>3RP requests for predictable multi-year funding from donors, and</w:t>
      </w:r>
      <w:r w:rsidR="0063393C">
        <w:t xml:space="preserve"> aligned</w:t>
      </w:r>
      <w:r w:rsidR="00DD19B1">
        <w:t xml:space="preserve"> with </w:t>
      </w:r>
      <w:r w:rsidR="00757391">
        <w:t>the</w:t>
      </w:r>
      <w:r w:rsidR="00DD19B1">
        <w:t xml:space="preserve"> aim of </w:t>
      </w:r>
      <w:r w:rsidR="005E18CA">
        <w:t>facilitating better long-term planning and strategic vision by partners and implementing organi</w:t>
      </w:r>
      <w:r w:rsidR="00293005">
        <w:t>z</w:t>
      </w:r>
      <w:r w:rsidR="005E18CA">
        <w:t>ations</w:t>
      </w:r>
      <w:r w:rsidR="00DD19B1">
        <w:t xml:space="preserve">, </w:t>
      </w:r>
      <w:r w:rsidR="009D2C70">
        <w:t>b</w:t>
      </w:r>
      <w:r w:rsidR="007F58CF">
        <w:t xml:space="preserve">udget breakdowns will be given for both 2017 and 2018. </w:t>
      </w:r>
      <w:r w:rsidR="009D2C70">
        <w:t xml:space="preserve"> </w:t>
      </w:r>
    </w:p>
    <w:p w14:paraId="5C93DC49" w14:textId="77777777" w:rsidR="00E36953" w:rsidRPr="00293005" w:rsidRDefault="00E36953" w:rsidP="005F68BE">
      <w:pPr>
        <w:pStyle w:val="NoSpacing"/>
        <w:spacing w:after="120"/>
        <w:jc w:val="both"/>
      </w:pPr>
    </w:p>
    <w:p w14:paraId="135CF6D5" w14:textId="251A2CEB" w:rsidR="00DD4F6F" w:rsidRPr="00CD7DEE" w:rsidRDefault="00AB09A9" w:rsidP="005F68BE">
      <w:pPr>
        <w:pStyle w:val="Heading1"/>
        <w:spacing w:after="120" w:line="240" w:lineRule="auto"/>
        <w:jc w:val="both"/>
        <w:rPr>
          <w:color w:val="3B6B27"/>
          <w:sz w:val="28"/>
          <w:szCs w:val="28"/>
        </w:rPr>
      </w:pPr>
      <w:r>
        <w:rPr>
          <w:color w:val="3B6B27"/>
          <w:sz w:val="28"/>
          <w:szCs w:val="28"/>
        </w:rPr>
        <w:t>Budgeting for 2017-2018</w:t>
      </w:r>
    </w:p>
    <w:p w14:paraId="6654034B" w14:textId="3DC52B85" w:rsidR="00DD4F6F" w:rsidRDefault="005770BF" w:rsidP="005F68BE">
      <w:pPr>
        <w:pStyle w:val="NoSpacing"/>
        <w:numPr>
          <w:ilvl w:val="0"/>
          <w:numId w:val="35"/>
        </w:numPr>
        <w:spacing w:after="120"/>
        <w:jc w:val="both"/>
      </w:pPr>
      <w:r>
        <w:t xml:space="preserve">This is two year plan 2017-2018 hence detailed budget breakdown </w:t>
      </w:r>
      <w:r w:rsidR="00650098">
        <w:t xml:space="preserve">at the output level </w:t>
      </w:r>
      <w:r>
        <w:t xml:space="preserve">for </w:t>
      </w:r>
      <w:r w:rsidR="00650098">
        <w:t xml:space="preserve">each of the </w:t>
      </w:r>
      <w:r>
        <w:t xml:space="preserve">two years is </w:t>
      </w:r>
      <w:r w:rsidR="00650098">
        <w:t>required</w:t>
      </w:r>
      <w:r w:rsidR="000444FA">
        <w:t>.</w:t>
      </w:r>
    </w:p>
    <w:p w14:paraId="627ECFDF" w14:textId="77777777" w:rsidR="00650098" w:rsidRDefault="00650098" w:rsidP="005F68BE">
      <w:pPr>
        <w:pStyle w:val="NoSpacing"/>
        <w:numPr>
          <w:ilvl w:val="0"/>
          <w:numId w:val="35"/>
        </w:numPr>
        <w:spacing w:after="120"/>
        <w:jc w:val="both"/>
      </w:pPr>
      <w:r>
        <w:t xml:space="preserve">In each of the two years, the plan’s budget should be based on the expected population planning figure and population targeted for assistance. </w:t>
      </w:r>
    </w:p>
    <w:p w14:paraId="64CF114C" w14:textId="43865B7F" w:rsidR="00650098" w:rsidRDefault="00650098" w:rsidP="00650098">
      <w:pPr>
        <w:pStyle w:val="NoSpacing"/>
        <w:numPr>
          <w:ilvl w:val="0"/>
          <w:numId w:val="35"/>
        </w:numPr>
        <w:spacing w:after="120"/>
        <w:jc w:val="both"/>
      </w:pPr>
      <w:r>
        <w:t>Planning and budgeting for the second year should therefore take into account expected changes in context, programmatic or strategic shifts expected. Note that, since the 3RP is a “rolling” two-year plan, the second year will be revised and refined during the next planning period. This means that the 2018 budgets included in this 2017-2018 plan will be revised and refined during the subsequent planning process for the 2018-2019 plan.</w:t>
      </w:r>
    </w:p>
    <w:p w14:paraId="5615F91D" w14:textId="7785BAA4" w:rsidR="000444FA" w:rsidRDefault="000444FA" w:rsidP="00762215">
      <w:pPr>
        <w:pStyle w:val="NoSpacing"/>
        <w:numPr>
          <w:ilvl w:val="0"/>
          <w:numId w:val="35"/>
        </w:numPr>
        <w:spacing w:after="120"/>
        <w:jc w:val="both"/>
      </w:pPr>
      <w:r>
        <w:t xml:space="preserve">The budget for the No Lost Generation is extracted from the relevant areas of the 3RP budget - please ensure that </w:t>
      </w:r>
      <w:r w:rsidR="00762215">
        <w:t xml:space="preserve">Youth and </w:t>
      </w:r>
      <w:r w:rsidR="00293005">
        <w:t>Adolescent</w:t>
      </w:r>
      <w:r>
        <w:t>-relevant outputs are marked as such in the relevant budget column of the Sector and Agency Response Matrices (Template B).</w:t>
      </w:r>
    </w:p>
    <w:p w14:paraId="2F76D1EF" w14:textId="77777777" w:rsidR="00E36953" w:rsidRPr="00293005" w:rsidRDefault="00E36953" w:rsidP="005F68BE">
      <w:pPr>
        <w:pStyle w:val="NoSpacing"/>
        <w:spacing w:after="120"/>
        <w:jc w:val="both"/>
      </w:pPr>
    </w:p>
    <w:p w14:paraId="24091769" w14:textId="741A6F60" w:rsidR="00DD4F6F" w:rsidRPr="00CD7DEE" w:rsidRDefault="00DD4F6F" w:rsidP="005F68BE">
      <w:pPr>
        <w:pStyle w:val="Heading1"/>
        <w:spacing w:after="120" w:line="240" w:lineRule="auto"/>
        <w:jc w:val="both"/>
        <w:rPr>
          <w:color w:val="3B6B27"/>
          <w:sz w:val="28"/>
          <w:szCs w:val="28"/>
        </w:rPr>
      </w:pPr>
      <w:r w:rsidRPr="00CD7DEE">
        <w:rPr>
          <w:color w:val="3B6B27"/>
          <w:sz w:val="28"/>
          <w:szCs w:val="28"/>
        </w:rPr>
        <w:t>Guidance for appealing agencies</w:t>
      </w:r>
    </w:p>
    <w:p w14:paraId="7F6A1734" w14:textId="75F5FCA6" w:rsidR="00DD4F6F" w:rsidRDefault="00AB09A9" w:rsidP="005F68BE">
      <w:pPr>
        <w:pStyle w:val="NoSpacing"/>
        <w:spacing w:after="120"/>
        <w:jc w:val="both"/>
      </w:pPr>
      <w:r>
        <w:t>I</w:t>
      </w:r>
      <w:r w:rsidR="00CF0947">
        <w:t xml:space="preserve">n line with good practice in the development of funding appeals and plans, </w:t>
      </w:r>
      <w:r w:rsidR="000F63BF">
        <w:t xml:space="preserve">before submitting to the 3RP </w:t>
      </w:r>
      <w:r w:rsidR="00CF0947">
        <w:t xml:space="preserve">appealing agencies </w:t>
      </w:r>
      <w:r w:rsidR="000F63BF">
        <w:t xml:space="preserve">are assumed </w:t>
      </w:r>
      <w:r w:rsidR="00CF0947">
        <w:t>to have undertaken their own analysis of:</w:t>
      </w:r>
    </w:p>
    <w:p w14:paraId="6B6B4626" w14:textId="77777777" w:rsidR="00CF0947" w:rsidRDefault="00DD4F6F" w:rsidP="005F68BE">
      <w:pPr>
        <w:pStyle w:val="NoSpacing"/>
        <w:numPr>
          <w:ilvl w:val="0"/>
          <w:numId w:val="35"/>
        </w:numPr>
        <w:spacing w:after="120"/>
        <w:jc w:val="both"/>
      </w:pPr>
      <w:r>
        <w:t xml:space="preserve">how </w:t>
      </w:r>
      <w:r w:rsidR="00CF0947">
        <w:t xml:space="preserve">their </w:t>
      </w:r>
      <w:r>
        <w:t>agency plan</w:t>
      </w:r>
      <w:r w:rsidR="00CF0947">
        <w:t>s</w:t>
      </w:r>
      <w:r>
        <w:t xml:space="preserve"> relate to the sector objectives</w:t>
      </w:r>
      <w:r w:rsidR="00CF0947">
        <w:t>;</w:t>
      </w:r>
    </w:p>
    <w:p w14:paraId="729BBDD7" w14:textId="78EA5FEA" w:rsidR="00CF0947" w:rsidRDefault="00CF0947" w:rsidP="005770BF">
      <w:pPr>
        <w:pStyle w:val="NoSpacing"/>
        <w:numPr>
          <w:ilvl w:val="0"/>
          <w:numId w:val="35"/>
        </w:numPr>
        <w:spacing w:after="120"/>
        <w:jc w:val="both"/>
      </w:pPr>
      <w:r>
        <w:t xml:space="preserve">their capacity to implement their appeal during </w:t>
      </w:r>
      <w:r w:rsidR="005770BF">
        <w:t>2017-2018</w:t>
      </w:r>
      <w:r>
        <w:t>;</w:t>
      </w:r>
    </w:p>
    <w:p w14:paraId="7B8362D2" w14:textId="526E9EB3" w:rsidR="00CF0947" w:rsidRDefault="00CF0947" w:rsidP="005770BF">
      <w:pPr>
        <w:pStyle w:val="NoSpacing"/>
        <w:numPr>
          <w:ilvl w:val="1"/>
          <w:numId w:val="38"/>
        </w:numPr>
        <w:spacing w:after="120"/>
        <w:jc w:val="both"/>
      </w:pPr>
      <w:r>
        <w:t xml:space="preserve">what they </w:t>
      </w:r>
      <w:r w:rsidR="00DD4F6F">
        <w:t xml:space="preserve">appealed </w:t>
      </w:r>
      <w:r>
        <w:t xml:space="preserve">for in </w:t>
      </w:r>
      <w:r w:rsidR="005770BF">
        <w:t xml:space="preserve">2016 </w:t>
      </w:r>
      <w:r>
        <w:t xml:space="preserve">and </w:t>
      </w:r>
      <w:r w:rsidR="00DD4F6F">
        <w:t>what was received</w:t>
      </w:r>
      <w:r>
        <w:t>;</w:t>
      </w:r>
    </w:p>
    <w:p w14:paraId="27F5D53A" w14:textId="3A24CF66" w:rsidR="009431BC" w:rsidRDefault="009431BC" w:rsidP="005F68BE">
      <w:pPr>
        <w:pStyle w:val="NoSpacing"/>
        <w:numPr>
          <w:ilvl w:val="1"/>
          <w:numId w:val="38"/>
        </w:numPr>
        <w:spacing w:after="120"/>
        <w:jc w:val="both"/>
      </w:pPr>
      <w:r>
        <w:t xml:space="preserve">the overall available funding considering the number of global crises; </w:t>
      </w:r>
      <w:r w:rsidR="00642E96">
        <w:t>and</w:t>
      </w:r>
    </w:p>
    <w:p w14:paraId="34FA075E" w14:textId="78CB1B41" w:rsidR="00DD4F6F" w:rsidRDefault="009431BC" w:rsidP="005770BF">
      <w:pPr>
        <w:pStyle w:val="NoSpacing"/>
        <w:numPr>
          <w:ilvl w:val="1"/>
          <w:numId w:val="38"/>
        </w:numPr>
        <w:spacing w:after="120"/>
        <w:jc w:val="both"/>
      </w:pPr>
      <w:r>
        <w:t xml:space="preserve">what </w:t>
      </w:r>
      <w:r w:rsidR="00DD4F6F">
        <w:t xml:space="preserve">they achieved against targets </w:t>
      </w:r>
      <w:r w:rsidR="00CF0947">
        <w:t xml:space="preserve">during </w:t>
      </w:r>
      <w:r w:rsidR="005770BF">
        <w:t>2016</w:t>
      </w:r>
      <w:r w:rsidR="00CF0947">
        <w:t>.</w:t>
      </w:r>
    </w:p>
    <w:p w14:paraId="60562913" w14:textId="77777777" w:rsidR="00293005" w:rsidRDefault="00293005" w:rsidP="00293005">
      <w:pPr>
        <w:pStyle w:val="NoSpacing"/>
        <w:spacing w:after="120"/>
        <w:jc w:val="both"/>
      </w:pPr>
    </w:p>
    <w:p w14:paraId="0F1F2BC2" w14:textId="323B6F6D" w:rsidR="00CF0947" w:rsidRDefault="00CF0947" w:rsidP="005F68BE">
      <w:pPr>
        <w:pStyle w:val="NoSpacing"/>
        <w:spacing w:after="120"/>
        <w:jc w:val="both"/>
      </w:pPr>
      <w:r>
        <w:lastRenderedPageBreak/>
        <w:t xml:space="preserve">Appealing agencies, as part of the interagency coordination mechanisms in each country, </w:t>
      </w:r>
      <w:r w:rsidR="005D2681">
        <w:t xml:space="preserve">at the sector level </w:t>
      </w:r>
      <w:r>
        <w:t>should be prepared to</w:t>
      </w:r>
      <w:r w:rsidR="005D2681">
        <w:t xml:space="preserve"> demonstrate the following</w:t>
      </w:r>
      <w:r>
        <w:t xml:space="preserve">: </w:t>
      </w:r>
    </w:p>
    <w:p w14:paraId="40E1B173" w14:textId="22E191D7" w:rsidR="00CF0947" w:rsidRDefault="005D2681" w:rsidP="005F68BE">
      <w:pPr>
        <w:pStyle w:val="NoSpacing"/>
        <w:numPr>
          <w:ilvl w:val="0"/>
          <w:numId w:val="35"/>
        </w:numPr>
        <w:spacing w:after="120"/>
        <w:jc w:val="both"/>
      </w:pPr>
      <w:r>
        <w:t>Their a</w:t>
      </w:r>
      <w:r w:rsidR="00CF0947">
        <w:t xml:space="preserve">ppeal is linked to </w:t>
      </w:r>
      <w:r w:rsidR="00261FC0">
        <w:t xml:space="preserve">achievable </w:t>
      </w:r>
      <w:r w:rsidR="00CF0947">
        <w:t>results</w:t>
      </w:r>
      <w:r w:rsidR="000F63BF">
        <w:t>;</w:t>
      </w:r>
    </w:p>
    <w:p w14:paraId="644DEEC6" w14:textId="151E37D9" w:rsidR="005D2681" w:rsidRPr="005D2681" w:rsidRDefault="005D2681" w:rsidP="005F68BE">
      <w:pPr>
        <w:pStyle w:val="NoSpacing"/>
        <w:numPr>
          <w:ilvl w:val="0"/>
          <w:numId w:val="35"/>
        </w:numPr>
        <w:spacing w:after="120"/>
        <w:jc w:val="both"/>
      </w:pPr>
      <w:r>
        <w:t>They have a</w:t>
      </w:r>
      <w:r w:rsidRPr="005D2681">
        <w:t>nal</w:t>
      </w:r>
      <w:r>
        <w:t xml:space="preserve">yzed </w:t>
      </w:r>
      <w:r w:rsidRPr="005D2681">
        <w:t xml:space="preserve">challenges </w:t>
      </w:r>
      <w:r>
        <w:t>to implementation and found</w:t>
      </w:r>
      <w:r w:rsidRPr="005D2681">
        <w:t xml:space="preserve"> </w:t>
      </w:r>
      <w:r>
        <w:t xml:space="preserve">viable </w:t>
      </w:r>
      <w:r w:rsidRPr="005D2681">
        <w:t>solutions</w:t>
      </w:r>
      <w:r>
        <w:t xml:space="preserve"> to them</w:t>
      </w:r>
      <w:r w:rsidR="00154D9B">
        <w:t>;</w:t>
      </w:r>
    </w:p>
    <w:p w14:paraId="55B8E74A" w14:textId="7B4F5599" w:rsidR="005D2681" w:rsidRDefault="00154D9B" w:rsidP="005F68BE">
      <w:pPr>
        <w:pStyle w:val="NoSpacing"/>
        <w:numPr>
          <w:ilvl w:val="0"/>
          <w:numId w:val="35"/>
        </w:numPr>
        <w:spacing w:after="120"/>
        <w:jc w:val="both"/>
      </w:pPr>
      <w:r>
        <w:t>They have reviewed and assessed</w:t>
      </w:r>
      <w:r w:rsidR="009431BC">
        <w:t xml:space="preserve"> that</w:t>
      </w:r>
      <w:r>
        <w:t xml:space="preserve"> internal capacities can </w:t>
      </w:r>
      <w:r w:rsidR="005D2681" w:rsidRPr="005D2681">
        <w:t>deliver the plan</w:t>
      </w:r>
      <w:r>
        <w:t>;</w:t>
      </w:r>
    </w:p>
    <w:p w14:paraId="1358CDBD" w14:textId="77777777" w:rsidR="00154D9B" w:rsidRPr="00154D9B" w:rsidRDefault="00154D9B" w:rsidP="005F68BE">
      <w:pPr>
        <w:pStyle w:val="NoSpacing"/>
        <w:numPr>
          <w:ilvl w:val="0"/>
          <w:numId w:val="35"/>
        </w:numPr>
        <w:spacing w:after="120"/>
        <w:jc w:val="both"/>
      </w:pPr>
      <w:r w:rsidRPr="00154D9B">
        <w:t xml:space="preserve">They confirm the operational environment is conducive to their activities; </w:t>
      </w:r>
    </w:p>
    <w:p w14:paraId="50D99251" w14:textId="7AC5719F" w:rsidR="00154D9B" w:rsidRPr="00154D9B" w:rsidRDefault="00154D9B" w:rsidP="005F68BE">
      <w:pPr>
        <w:pStyle w:val="NoSpacing"/>
        <w:numPr>
          <w:ilvl w:val="0"/>
          <w:numId w:val="35"/>
        </w:numPr>
        <w:spacing w:after="120"/>
        <w:jc w:val="both"/>
      </w:pPr>
      <w:r w:rsidRPr="00154D9B">
        <w:t xml:space="preserve">They will </w:t>
      </w:r>
      <w:r>
        <w:t xml:space="preserve">contribute to inter-agency </w:t>
      </w:r>
      <w:r w:rsidRPr="00154D9B">
        <w:t xml:space="preserve">coordination; </w:t>
      </w:r>
    </w:p>
    <w:p w14:paraId="2D614E16" w14:textId="6B28BFDF" w:rsidR="00CF0947" w:rsidRDefault="00154D9B" w:rsidP="005F68BE">
      <w:pPr>
        <w:pStyle w:val="NoSpacing"/>
        <w:numPr>
          <w:ilvl w:val="0"/>
          <w:numId w:val="35"/>
        </w:numPr>
        <w:spacing w:after="120"/>
        <w:jc w:val="both"/>
      </w:pPr>
      <w:r>
        <w:t>They can r</w:t>
      </w:r>
      <w:r w:rsidR="00CF0947">
        <w:t>eport implementation and achievements throughout the year</w:t>
      </w:r>
      <w:r w:rsidR="000F63BF">
        <w:t>;</w:t>
      </w:r>
      <w:r w:rsidR="00261FC0">
        <w:t xml:space="preserve"> and</w:t>
      </w:r>
    </w:p>
    <w:p w14:paraId="08FD7C82" w14:textId="398D9F3F" w:rsidR="00CF0947" w:rsidRDefault="00154D9B" w:rsidP="005F68BE">
      <w:pPr>
        <w:pStyle w:val="NoSpacing"/>
        <w:numPr>
          <w:ilvl w:val="0"/>
          <w:numId w:val="35"/>
        </w:numPr>
        <w:spacing w:after="120"/>
        <w:jc w:val="both"/>
      </w:pPr>
      <w:r>
        <w:t>They can r</w:t>
      </w:r>
      <w:r w:rsidR="00CF0947">
        <w:t>eport on funding received throughout the year.</w:t>
      </w:r>
    </w:p>
    <w:p w14:paraId="0ED2A3F4" w14:textId="77777777" w:rsidR="00DD4F6F" w:rsidRPr="00293005" w:rsidRDefault="00DD4F6F" w:rsidP="005F68BE">
      <w:pPr>
        <w:pStyle w:val="NoSpacing"/>
        <w:spacing w:after="120"/>
        <w:ind w:left="720"/>
        <w:jc w:val="both"/>
      </w:pPr>
    </w:p>
    <w:p w14:paraId="0B8D2435" w14:textId="5E162D64" w:rsidR="00CF0947" w:rsidRPr="00CD7DEE" w:rsidRDefault="00CF0947" w:rsidP="005F68BE">
      <w:pPr>
        <w:pStyle w:val="Heading1"/>
        <w:spacing w:after="120" w:line="240" w:lineRule="auto"/>
        <w:jc w:val="both"/>
        <w:rPr>
          <w:color w:val="3B6B27"/>
          <w:sz w:val="28"/>
          <w:szCs w:val="28"/>
        </w:rPr>
      </w:pPr>
      <w:r w:rsidRPr="00CD7DEE">
        <w:rPr>
          <w:color w:val="3B6B27"/>
          <w:sz w:val="28"/>
          <w:szCs w:val="28"/>
        </w:rPr>
        <w:t xml:space="preserve">Guidance for </w:t>
      </w:r>
      <w:r w:rsidR="00A26582" w:rsidRPr="00CD7DEE">
        <w:rPr>
          <w:color w:val="3B6B27"/>
          <w:sz w:val="28"/>
          <w:szCs w:val="28"/>
        </w:rPr>
        <w:t>inter</w:t>
      </w:r>
      <w:r w:rsidR="005F68BE" w:rsidRPr="00CD7DEE">
        <w:rPr>
          <w:color w:val="3B6B27"/>
          <w:sz w:val="28"/>
          <w:szCs w:val="28"/>
        </w:rPr>
        <w:t>-</w:t>
      </w:r>
      <w:r w:rsidR="00A26582" w:rsidRPr="00CD7DEE">
        <w:rPr>
          <w:color w:val="3B6B27"/>
          <w:sz w:val="28"/>
          <w:szCs w:val="28"/>
        </w:rPr>
        <w:t>sector and sector leadership</w:t>
      </w:r>
    </w:p>
    <w:p w14:paraId="5B73FBBB" w14:textId="317928CD" w:rsidR="00CF0947" w:rsidRDefault="00A26582" w:rsidP="005F68BE">
      <w:pPr>
        <w:pStyle w:val="NoSpacing"/>
        <w:spacing w:after="120"/>
        <w:jc w:val="both"/>
      </w:pPr>
      <w:r>
        <w:t>Inter</w:t>
      </w:r>
      <w:r w:rsidR="00A03491">
        <w:t>-</w:t>
      </w:r>
      <w:r>
        <w:t xml:space="preserve">sector and sector </w:t>
      </w:r>
      <w:r w:rsidR="00CF0947">
        <w:t xml:space="preserve">leadership should ensure that </w:t>
      </w:r>
      <w:r w:rsidR="00A03491">
        <w:t>sector</w:t>
      </w:r>
      <w:r w:rsidR="00CF0947">
        <w:t xml:space="preserve"> plans </w:t>
      </w:r>
      <w:r w:rsidR="00A03491">
        <w:t xml:space="preserve">individually and taken together </w:t>
      </w:r>
      <w:r w:rsidR="00CF0947">
        <w:t>reflect:</w:t>
      </w:r>
    </w:p>
    <w:p w14:paraId="6CBCEDBC" w14:textId="03E7B8BC" w:rsidR="00DD4F6F" w:rsidRDefault="00DD4F6F" w:rsidP="005F68BE">
      <w:pPr>
        <w:pStyle w:val="NoSpacing"/>
        <w:numPr>
          <w:ilvl w:val="0"/>
          <w:numId w:val="35"/>
        </w:numPr>
        <w:spacing w:after="120"/>
        <w:jc w:val="both"/>
      </w:pPr>
      <w:r>
        <w:t>Needs defined by evidence from available assessments and information sources</w:t>
      </w:r>
      <w:r w:rsidR="00A03491">
        <w:t>;</w:t>
      </w:r>
    </w:p>
    <w:p w14:paraId="26F943C7" w14:textId="101F11D9" w:rsidR="00DD4F6F" w:rsidRDefault="00DD4F6F" w:rsidP="005F68BE">
      <w:pPr>
        <w:pStyle w:val="NoSpacing"/>
        <w:numPr>
          <w:ilvl w:val="0"/>
          <w:numId w:val="35"/>
        </w:numPr>
        <w:spacing w:after="120"/>
        <w:jc w:val="both"/>
      </w:pPr>
      <w:r>
        <w:t>Targets defined against a gap analys</w:t>
      </w:r>
      <w:r w:rsidR="00A03491">
        <w:t xml:space="preserve">es; </w:t>
      </w:r>
    </w:p>
    <w:p w14:paraId="173C7260" w14:textId="6729D0AF" w:rsidR="00CF0947" w:rsidRDefault="00CF0947" w:rsidP="005F68BE">
      <w:pPr>
        <w:pStyle w:val="NoSpacing"/>
        <w:numPr>
          <w:ilvl w:val="0"/>
          <w:numId w:val="35"/>
        </w:numPr>
        <w:spacing w:after="120"/>
        <w:jc w:val="both"/>
      </w:pPr>
      <w:r>
        <w:t xml:space="preserve">Budgets linked to targets and </w:t>
      </w:r>
      <w:r w:rsidR="00A03491">
        <w:t xml:space="preserve">remain within them </w:t>
      </w:r>
      <w:r>
        <w:t>(i</w:t>
      </w:r>
      <w:r w:rsidR="00A03491">
        <w:t>.</w:t>
      </w:r>
      <w:r>
        <w:t>e</w:t>
      </w:r>
      <w:r w:rsidR="00A03491">
        <w:t>.</w:t>
      </w:r>
      <w:r>
        <w:t xml:space="preserve"> tightly linked to measurable results)</w:t>
      </w:r>
      <w:r w:rsidR="00A03491">
        <w:t xml:space="preserve">; </w:t>
      </w:r>
    </w:p>
    <w:p w14:paraId="43A9F425" w14:textId="5EB96895" w:rsidR="00DD4F6F" w:rsidRDefault="00DD4F6F" w:rsidP="005F68BE">
      <w:pPr>
        <w:pStyle w:val="NoSpacing"/>
        <w:numPr>
          <w:ilvl w:val="0"/>
          <w:numId w:val="35"/>
        </w:numPr>
        <w:spacing w:after="120"/>
        <w:jc w:val="both"/>
      </w:pPr>
      <w:r>
        <w:t>Evidence</w:t>
      </w:r>
      <w:r w:rsidR="00A03491">
        <w:t>-</w:t>
      </w:r>
      <w:r>
        <w:t xml:space="preserve">based objectives and outputs developed </w:t>
      </w:r>
      <w:r w:rsidR="00CF0947">
        <w:t>to meet needs of defined individuals, communities, institutions or systems</w:t>
      </w:r>
      <w:r w:rsidR="00A03491">
        <w:t>;</w:t>
      </w:r>
    </w:p>
    <w:p w14:paraId="4CF25BE4" w14:textId="44AFBF17" w:rsidR="00CF0947" w:rsidRDefault="00CF0947" w:rsidP="005F68BE">
      <w:pPr>
        <w:pStyle w:val="NoSpacing"/>
        <w:numPr>
          <w:ilvl w:val="0"/>
          <w:numId w:val="35"/>
        </w:numPr>
        <w:spacing w:after="120"/>
        <w:jc w:val="both"/>
      </w:pPr>
      <w:r>
        <w:t xml:space="preserve">A realistic analysis of activities </w:t>
      </w:r>
      <w:r w:rsidR="00DD4F6F">
        <w:t xml:space="preserve">allowed in </w:t>
      </w:r>
      <w:r w:rsidR="00A03491">
        <w:t xml:space="preserve">or suitable for </w:t>
      </w:r>
      <w:r w:rsidR="00DD4F6F">
        <w:t>the operational context (</w:t>
      </w:r>
      <w:r>
        <w:t>i</w:t>
      </w:r>
      <w:r w:rsidR="00A03491">
        <w:t>.</w:t>
      </w:r>
      <w:r>
        <w:t>e</w:t>
      </w:r>
      <w:r w:rsidR="00A03491">
        <w:t>.</w:t>
      </w:r>
      <w:r>
        <w:t xml:space="preserve"> </w:t>
      </w:r>
      <w:r w:rsidR="00DD4F6F">
        <w:t>are there pol</w:t>
      </w:r>
      <w:r>
        <w:t>icy and modality constraints?)</w:t>
      </w:r>
      <w:r w:rsidR="00F27C57">
        <w:t>;</w:t>
      </w:r>
    </w:p>
    <w:p w14:paraId="6DF4FB61" w14:textId="2542B903" w:rsidR="00CF0947" w:rsidRDefault="00F27C57" w:rsidP="005F68BE">
      <w:pPr>
        <w:pStyle w:val="NoSpacing"/>
        <w:numPr>
          <w:ilvl w:val="0"/>
          <w:numId w:val="35"/>
        </w:numPr>
        <w:spacing w:after="120"/>
        <w:jc w:val="both"/>
      </w:pPr>
      <w:r>
        <w:t xml:space="preserve">A confirmed capacity </w:t>
      </w:r>
      <w:r w:rsidR="00CF0947">
        <w:t xml:space="preserve"> to ensure that all partners in the 3RP are able to have their contributions to the response reflected in the planning and reporting;</w:t>
      </w:r>
    </w:p>
    <w:p w14:paraId="6A5CBCA2" w14:textId="179CC224" w:rsidR="00CF0947" w:rsidRPr="00E36953" w:rsidRDefault="00CF0947" w:rsidP="005F68BE">
      <w:pPr>
        <w:pStyle w:val="NoSpacing"/>
        <w:numPr>
          <w:ilvl w:val="0"/>
          <w:numId w:val="35"/>
        </w:numPr>
        <w:spacing w:after="120"/>
        <w:jc w:val="both"/>
      </w:pPr>
      <w:r>
        <w:t>Mechanisms to ensure that overlap (i</w:t>
      </w:r>
      <w:r w:rsidR="00F27C57">
        <w:t>.</w:t>
      </w:r>
      <w:r>
        <w:t>e</w:t>
      </w:r>
      <w:r w:rsidR="00F27C57">
        <w:t>.</w:t>
      </w:r>
      <w:r>
        <w:t xml:space="preserve"> same interventions targeting same beneficiaries) </w:t>
      </w:r>
      <w:r w:rsidR="00F27C57">
        <w:t xml:space="preserve">is </w:t>
      </w:r>
      <w:r w:rsidRPr="00E36953">
        <w:t>identified and streamlined during the planning phase</w:t>
      </w:r>
      <w:r w:rsidR="00F27C57" w:rsidRPr="00E36953">
        <w:t>;</w:t>
      </w:r>
    </w:p>
    <w:p w14:paraId="53FC6270" w14:textId="2713FAE9" w:rsidR="00DD4F6F" w:rsidRPr="00E36953" w:rsidRDefault="00CF0947" w:rsidP="005F68BE">
      <w:pPr>
        <w:pStyle w:val="NoSpacing"/>
        <w:numPr>
          <w:ilvl w:val="0"/>
          <w:numId w:val="35"/>
        </w:numPr>
        <w:spacing w:after="120"/>
        <w:jc w:val="both"/>
      </w:pPr>
      <w:r w:rsidRPr="00E36953">
        <w:t xml:space="preserve">A </w:t>
      </w:r>
      <w:r w:rsidR="00F27C57" w:rsidRPr="00E36953">
        <w:t xml:space="preserve">sound </w:t>
      </w:r>
      <w:r w:rsidRPr="00E36953">
        <w:t xml:space="preserve">justification of </w:t>
      </w:r>
      <w:r w:rsidR="00DD4F6F" w:rsidRPr="00E36953">
        <w:t>activities if budget</w:t>
      </w:r>
      <w:r w:rsidR="00F27C57" w:rsidRPr="00E36953">
        <w:t>s</w:t>
      </w:r>
      <w:r w:rsidR="00DD4F6F" w:rsidRPr="00E36953">
        <w:t xml:space="preserve"> </w:t>
      </w:r>
      <w:r w:rsidR="00F27C57" w:rsidRPr="00E36953">
        <w:t>are</w:t>
      </w:r>
      <w:r w:rsidR="00DD4F6F" w:rsidRPr="00E36953">
        <w:t xml:space="preserve"> higher than </w:t>
      </w:r>
      <w:r w:rsidR="00F27C57" w:rsidRPr="00E36953">
        <w:t xml:space="preserve">funds </w:t>
      </w:r>
      <w:r w:rsidR="00DD4F6F" w:rsidRPr="00E36953">
        <w:t>received by the sector last year</w:t>
      </w:r>
      <w:r w:rsidR="00F27C57" w:rsidRPr="00E36953">
        <w:t xml:space="preserve"> for the same or similar interventions</w:t>
      </w:r>
      <w:r w:rsidR="00DD4F6F" w:rsidRPr="00E36953">
        <w:t xml:space="preserve"> (evidence</w:t>
      </w:r>
      <w:r w:rsidR="00F27C57" w:rsidRPr="00E36953">
        <w:t>-</w:t>
      </w:r>
      <w:r w:rsidR="00DD4F6F" w:rsidRPr="00E36953">
        <w:t>based, links to existing capacity and what results can be achieved)</w:t>
      </w:r>
      <w:r w:rsidR="00F27C57" w:rsidRPr="00E36953">
        <w:t>;</w:t>
      </w:r>
    </w:p>
    <w:p w14:paraId="29D77939" w14:textId="3094C230" w:rsidR="00F27C57" w:rsidRPr="00E36953" w:rsidRDefault="00F27C57" w:rsidP="005F68BE">
      <w:pPr>
        <w:pStyle w:val="NoSpacing"/>
        <w:numPr>
          <w:ilvl w:val="0"/>
          <w:numId w:val="35"/>
        </w:numPr>
        <w:spacing w:after="120"/>
        <w:jc w:val="both"/>
      </w:pPr>
      <w:r w:rsidRPr="00E36953">
        <w:t>Mechanisms to follow up on how agencies’ activities contribute directly to existing objectives and outputs;</w:t>
      </w:r>
    </w:p>
    <w:p w14:paraId="145932B7" w14:textId="4A37AB35" w:rsidR="00DD4F6F" w:rsidRPr="00E36953" w:rsidRDefault="00DD4F6F" w:rsidP="005F68BE">
      <w:pPr>
        <w:pStyle w:val="NoSpacing"/>
        <w:numPr>
          <w:ilvl w:val="0"/>
          <w:numId w:val="35"/>
        </w:numPr>
        <w:spacing w:after="120"/>
        <w:jc w:val="both"/>
      </w:pPr>
      <w:r w:rsidRPr="00E36953">
        <w:t xml:space="preserve">Appealing organizations </w:t>
      </w:r>
      <w:r w:rsidR="00F27C57" w:rsidRPr="00E36953">
        <w:t xml:space="preserve">are </w:t>
      </w:r>
      <w:r w:rsidRPr="00E36953">
        <w:t xml:space="preserve"> registered with the government and operational in country, or planning to be operational within </w:t>
      </w:r>
      <w:r w:rsidR="00F27C57" w:rsidRPr="00E36953">
        <w:t>no more than six</w:t>
      </w:r>
      <w:r w:rsidRPr="00E36953">
        <w:t xml:space="preserve"> months</w:t>
      </w:r>
      <w:r w:rsidR="00F27C57" w:rsidRPr="00E36953">
        <w:t xml:space="preserve"> of the appeal</w:t>
      </w:r>
      <w:r w:rsidR="00261FC0">
        <w:t xml:space="preserve"> being launched</w:t>
      </w:r>
      <w:r w:rsidR="00F27C57" w:rsidRPr="00E36953">
        <w:t>;</w:t>
      </w:r>
    </w:p>
    <w:p w14:paraId="0F458E32" w14:textId="4C96970A" w:rsidR="00DD4F6F" w:rsidRPr="00E36953" w:rsidRDefault="00CF0947" w:rsidP="005F68BE">
      <w:pPr>
        <w:pStyle w:val="NoSpacing"/>
        <w:numPr>
          <w:ilvl w:val="0"/>
          <w:numId w:val="35"/>
        </w:numPr>
        <w:spacing w:after="120"/>
        <w:jc w:val="both"/>
      </w:pPr>
      <w:r w:rsidRPr="00E36953">
        <w:t>Mechanisms and plans to f</w:t>
      </w:r>
      <w:r w:rsidR="00DD4F6F" w:rsidRPr="00E36953">
        <w:t>ollow up on the agencies</w:t>
      </w:r>
      <w:r w:rsidR="00F27C57" w:rsidRPr="00E36953">
        <w:t>’</w:t>
      </w:r>
      <w:r w:rsidR="00DD4F6F" w:rsidRPr="00E36953">
        <w:t xml:space="preserve"> capacity to deliver</w:t>
      </w:r>
      <w:r w:rsidR="00F27C57" w:rsidRPr="00E36953">
        <w:t>.</w:t>
      </w:r>
      <w:r w:rsidR="00DD4F6F" w:rsidRPr="00E36953">
        <w:t xml:space="preserve"> </w:t>
      </w:r>
    </w:p>
    <w:p w14:paraId="64A9AE62" w14:textId="77777777" w:rsidR="00E36953" w:rsidRDefault="00E36953" w:rsidP="005F68BE">
      <w:pPr>
        <w:pStyle w:val="NoSpacing"/>
        <w:spacing w:after="120"/>
        <w:jc w:val="both"/>
      </w:pPr>
    </w:p>
    <w:p w14:paraId="6472B5B6" w14:textId="77777777" w:rsidR="00293005" w:rsidRDefault="00293005" w:rsidP="005F68BE">
      <w:pPr>
        <w:pStyle w:val="NoSpacing"/>
        <w:spacing w:after="120"/>
        <w:jc w:val="both"/>
      </w:pPr>
    </w:p>
    <w:p w14:paraId="1FB1F1F8" w14:textId="77777777" w:rsidR="00293005" w:rsidRDefault="00293005" w:rsidP="005F68BE">
      <w:pPr>
        <w:pStyle w:val="NoSpacing"/>
        <w:spacing w:after="120"/>
        <w:jc w:val="both"/>
      </w:pPr>
    </w:p>
    <w:p w14:paraId="0C586F07" w14:textId="37A82620" w:rsidR="00A26582" w:rsidRPr="00CD7DEE" w:rsidRDefault="00A26582" w:rsidP="005F68BE">
      <w:pPr>
        <w:pStyle w:val="Heading1"/>
        <w:spacing w:after="120" w:line="240" w:lineRule="auto"/>
        <w:jc w:val="both"/>
        <w:rPr>
          <w:color w:val="3B6B27"/>
          <w:sz w:val="28"/>
          <w:szCs w:val="28"/>
        </w:rPr>
      </w:pPr>
      <w:bookmarkStart w:id="0" w:name="_GoBack"/>
      <w:bookmarkEnd w:id="0"/>
      <w:r w:rsidRPr="00CD7DEE">
        <w:rPr>
          <w:color w:val="3B6B27"/>
          <w:sz w:val="28"/>
          <w:szCs w:val="28"/>
        </w:rPr>
        <w:lastRenderedPageBreak/>
        <w:t>Country</w:t>
      </w:r>
    </w:p>
    <w:p w14:paraId="3F8B4F1D" w14:textId="79DA21BA" w:rsidR="00A26582" w:rsidRPr="00E80FCD" w:rsidRDefault="00993C7C" w:rsidP="005F68BE">
      <w:pPr>
        <w:pStyle w:val="NoSpacing"/>
        <w:numPr>
          <w:ilvl w:val="0"/>
          <w:numId w:val="35"/>
        </w:numPr>
        <w:spacing w:after="120"/>
        <w:jc w:val="both"/>
      </w:pPr>
      <w:r>
        <w:t>UNHCR and UNDP principals are</w:t>
      </w:r>
      <w:r w:rsidR="00A26582">
        <w:t xml:space="preserve"> expected to </w:t>
      </w:r>
      <w:r w:rsidR="00671140">
        <w:t>ensure</w:t>
      </w:r>
      <w:r>
        <w:t xml:space="preserve"> a strategic </w:t>
      </w:r>
      <w:r w:rsidR="00A26582" w:rsidRPr="00E456B7">
        <w:t>review</w:t>
      </w:r>
      <w:r w:rsidR="00A26582">
        <w:t xml:space="preserve"> </w:t>
      </w:r>
      <w:r>
        <w:t xml:space="preserve">of </w:t>
      </w:r>
      <w:r w:rsidR="00A26582">
        <w:t>sector plans</w:t>
      </w:r>
      <w:r w:rsidR="00A26582" w:rsidRPr="00E80FCD">
        <w:t xml:space="preserve"> </w:t>
      </w:r>
      <w:r w:rsidR="00A26582">
        <w:t>and budgets, including to</w:t>
      </w:r>
      <w:r w:rsidR="00A26582" w:rsidRPr="00E80FCD">
        <w:t>:</w:t>
      </w:r>
      <w:r w:rsidR="00E36953">
        <w:t xml:space="preserve"> i</w:t>
      </w:r>
      <w:r w:rsidR="00A26582" w:rsidRPr="00E80FCD">
        <w:t>dentify</w:t>
      </w:r>
      <w:r w:rsidR="00A26582">
        <w:t xml:space="preserve"> </w:t>
      </w:r>
      <w:r w:rsidR="00A26582" w:rsidRPr="00E80FCD">
        <w:t>and resolving duplication between sectors;</w:t>
      </w:r>
    </w:p>
    <w:p w14:paraId="5E66E140" w14:textId="4A2C888D" w:rsidR="00A26582" w:rsidRPr="00E80FCD" w:rsidRDefault="00A26582" w:rsidP="005F68BE">
      <w:pPr>
        <w:pStyle w:val="NoSpacing"/>
        <w:numPr>
          <w:ilvl w:val="0"/>
          <w:numId w:val="35"/>
        </w:numPr>
        <w:spacing w:after="120"/>
        <w:jc w:val="both"/>
      </w:pPr>
      <w:r>
        <w:t>Ensure</w:t>
      </w:r>
      <w:r w:rsidRPr="00E80FCD">
        <w:t xml:space="preserve"> that planning assumptions are applied coherently across sector work</w:t>
      </w:r>
      <w:r>
        <w:t xml:space="preserve"> </w:t>
      </w:r>
      <w:r w:rsidRPr="00E80FCD">
        <w:t>plans;</w:t>
      </w:r>
    </w:p>
    <w:p w14:paraId="2BDC4CA9" w14:textId="69059E44" w:rsidR="00A26582" w:rsidRPr="00E80FCD" w:rsidRDefault="00A26582" w:rsidP="005F68BE">
      <w:pPr>
        <w:pStyle w:val="NoSpacing"/>
        <w:numPr>
          <w:ilvl w:val="0"/>
          <w:numId w:val="35"/>
        </w:numPr>
        <w:spacing w:after="120"/>
        <w:jc w:val="both"/>
      </w:pPr>
      <w:r>
        <w:t>Ensure</w:t>
      </w:r>
      <w:r w:rsidRPr="00E80FCD">
        <w:t xml:space="preserve"> that different populations are addressed in</w:t>
      </w:r>
      <w:r>
        <w:t xml:space="preserve"> a</w:t>
      </w:r>
      <w:r w:rsidRPr="00E80FCD">
        <w:t xml:space="preserve"> harmonized manner by all sectors, and that targeting approaches are complementary;</w:t>
      </w:r>
    </w:p>
    <w:p w14:paraId="3D75C543" w14:textId="124566F5" w:rsidR="00A26582" w:rsidRDefault="00A26582" w:rsidP="005F68BE">
      <w:pPr>
        <w:pStyle w:val="NoSpacing"/>
        <w:numPr>
          <w:ilvl w:val="0"/>
          <w:numId w:val="35"/>
        </w:numPr>
        <w:spacing w:after="120"/>
        <w:jc w:val="both"/>
      </w:pPr>
      <w:r>
        <w:t>Ensure</w:t>
      </w:r>
      <w:r w:rsidRPr="00E80FCD">
        <w:t xml:space="preserve"> </w:t>
      </w:r>
      <w:r>
        <w:t>coherence between</w:t>
      </w:r>
      <w:r w:rsidRPr="00E80FCD">
        <w:t xml:space="preserve"> budgetary requirements</w:t>
      </w:r>
      <w:r>
        <w:t xml:space="preserve"> developed by different sectors.</w:t>
      </w:r>
    </w:p>
    <w:p w14:paraId="73ABDFF4" w14:textId="77777777" w:rsidR="009D11D4" w:rsidRPr="00293005" w:rsidRDefault="009D11D4" w:rsidP="009D11D4">
      <w:pPr>
        <w:pStyle w:val="NoSpacing"/>
        <w:spacing w:after="120"/>
        <w:jc w:val="both"/>
      </w:pPr>
    </w:p>
    <w:p w14:paraId="77C9AD4E" w14:textId="6A1D7B52" w:rsidR="00A26582" w:rsidRPr="00CD7DEE" w:rsidRDefault="00A26582" w:rsidP="005F68BE">
      <w:pPr>
        <w:pStyle w:val="Heading1"/>
        <w:spacing w:after="120" w:line="240" w:lineRule="auto"/>
        <w:jc w:val="both"/>
        <w:rPr>
          <w:color w:val="3B6B27"/>
          <w:sz w:val="28"/>
          <w:szCs w:val="28"/>
        </w:rPr>
      </w:pPr>
      <w:r w:rsidRPr="00CD7DEE">
        <w:rPr>
          <w:color w:val="3B6B27"/>
          <w:sz w:val="28"/>
          <w:szCs w:val="28"/>
        </w:rPr>
        <w:t xml:space="preserve">Regional </w:t>
      </w:r>
    </w:p>
    <w:p w14:paraId="6CDD10B7" w14:textId="0C809F72" w:rsidR="002D45A1" w:rsidRDefault="00A26582" w:rsidP="005F68BE">
      <w:pPr>
        <w:pStyle w:val="NoSpacing"/>
        <w:spacing w:after="120"/>
        <w:jc w:val="both"/>
      </w:pPr>
      <w:r>
        <w:t>Similarly, feedback will be provided to agencies through their regional offices, and on country responses overall through the Regional Technical Committee, with an eye to regional coherence and consistency across the 3RP.</w:t>
      </w:r>
    </w:p>
    <w:sectPr w:rsidR="002D45A1" w:rsidSect="00BD6428">
      <w:headerReference w:type="even" r:id="rId8"/>
      <w:headerReference w:type="default" r:id="rId9"/>
      <w:footerReference w:type="even" r:id="rId10"/>
      <w:footerReference w:type="default" r:id="rId11"/>
      <w:headerReference w:type="first" r:id="rId12"/>
      <w:footerReference w:type="first" r:id="rId13"/>
      <w:pgSz w:w="12240" w:h="15840"/>
      <w:pgMar w:top="851" w:right="1260" w:bottom="1530" w:left="1440" w:header="720" w:footer="27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18C705" w14:textId="77777777" w:rsidR="00120EDA" w:rsidRDefault="00120EDA" w:rsidP="00BF4FE4">
      <w:pPr>
        <w:spacing w:after="0" w:line="240" w:lineRule="auto"/>
      </w:pPr>
      <w:r>
        <w:separator/>
      </w:r>
    </w:p>
    <w:p w14:paraId="7A97DE6F" w14:textId="77777777" w:rsidR="00120EDA" w:rsidRDefault="00120EDA"/>
  </w:endnote>
  <w:endnote w:type="continuationSeparator" w:id="0">
    <w:p w14:paraId="5B6AC7EE" w14:textId="77777777" w:rsidR="00120EDA" w:rsidRDefault="00120EDA" w:rsidP="00BF4FE4">
      <w:pPr>
        <w:spacing w:after="0" w:line="240" w:lineRule="auto"/>
      </w:pPr>
      <w:r>
        <w:continuationSeparator/>
      </w:r>
    </w:p>
    <w:p w14:paraId="2A84D1ED" w14:textId="77777777" w:rsidR="00120EDA" w:rsidRDefault="00120E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Optima LT Std">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Optima LT Std DemiBold">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1FB89" w14:textId="77777777" w:rsidR="00725AAF" w:rsidRDefault="00725AA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35016853"/>
      <w:docPartObj>
        <w:docPartGallery w:val="Page Numbers (Bottom of Page)"/>
        <w:docPartUnique/>
      </w:docPartObj>
    </w:sdtPr>
    <w:sdtEndPr>
      <w:rPr>
        <w:noProof/>
      </w:rPr>
    </w:sdtEndPr>
    <w:sdtContent>
      <w:p w14:paraId="69014DF8" w14:textId="48AE34D1" w:rsidR="005F68BE" w:rsidRDefault="005F68BE">
        <w:pPr>
          <w:pStyle w:val="Footer"/>
          <w:jc w:val="center"/>
        </w:pPr>
        <w:r>
          <w:fldChar w:fldCharType="begin"/>
        </w:r>
        <w:r>
          <w:instrText xml:space="preserve"> PAGE   \* MERGEFORMAT </w:instrText>
        </w:r>
        <w:r>
          <w:fldChar w:fldCharType="separate"/>
        </w:r>
        <w:r w:rsidR="00293005">
          <w:rPr>
            <w:noProof/>
          </w:rPr>
          <w:t>2</w:t>
        </w:r>
        <w:r>
          <w:rPr>
            <w:noProof/>
          </w:rPr>
          <w:fldChar w:fldCharType="end"/>
        </w:r>
      </w:p>
    </w:sdtContent>
  </w:sdt>
  <w:p w14:paraId="73009C0C" w14:textId="77777777" w:rsidR="00AC3ECD" w:rsidRDefault="00AC3ECD"/>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649578" w14:textId="77777777" w:rsidR="00725AAF" w:rsidRDefault="00725AA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71897D" w14:textId="77777777" w:rsidR="00120EDA" w:rsidRDefault="00120EDA" w:rsidP="00BF4FE4">
      <w:pPr>
        <w:spacing w:after="0" w:line="240" w:lineRule="auto"/>
      </w:pPr>
      <w:r>
        <w:separator/>
      </w:r>
    </w:p>
    <w:p w14:paraId="37B47AC5" w14:textId="77777777" w:rsidR="00120EDA" w:rsidRDefault="00120EDA"/>
  </w:footnote>
  <w:footnote w:type="continuationSeparator" w:id="0">
    <w:p w14:paraId="42330D8B" w14:textId="77777777" w:rsidR="00120EDA" w:rsidRDefault="00120EDA" w:rsidP="00BF4FE4">
      <w:pPr>
        <w:spacing w:after="0" w:line="240" w:lineRule="auto"/>
      </w:pPr>
      <w:r>
        <w:continuationSeparator/>
      </w:r>
    </w:p>
    <w:p w14:paraId="3B9B60BE" w14:textId="77777777" w:rsidR="00120EDA" w:rsidRDefault="00120ED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278F28" w14:textId="77777777" w:rsidR="00725AAF" w:rsidRDefault="00725AA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F3EC39" w14:textId="13A2FFA6" w:rsidR="00725AAF" w:rsidRDefault="00725AA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0CE6D0" w14:textId="77777777" w:rsidR="00725AAF" w:rsidRDefault="00725AA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576AB"/>
    <w:multiLevelType w:val="hybridMultilevel"/>
    <w:tmpl w:val="A5C6131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2A50C5"/>
    <w:multiLevelType w:val="hybridMultilevel"/>
    <w:tmpl w:val="DB944E32"/>
    <w:lvl w:ilvl="0" w:tplc="D5D4D44A">
      <w:start w:val="2016"/>
      <w:numFmt w:val="bullet"/>
      <w:lvlText w:val="-"/>
      <w:lvlJc w:val="left"/>
      <w:pPr>
        <w:ind w:left="360" w:hanging="360"/>
      </w:pPr>
      <w:rPr>
        <w:rFonts w:ascii="Calibri" w:eastAsia="Calibri" w:hAnsi="Calibri" w:cs="Calibri"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CD0062E"/>
    <w:multiLevelType w:val="hybridMultilevel"/>
    <w:tmpl w:val="6108DD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0E11FC0"/>
    <w:multiLevelType w:val="hybridMultilevel"/>
    <w:tmpl w:val="906AB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9A2523"/>
    <w:multiLevelType w:val="multilevel"/>
    <w:tmpl w:val="5704BBF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B192295"/>
    <w:multiLevelType w:val="hybridMultilevel"/>
    <w:tmpl w:val="60BA40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DC1A87"/>
    <w:multiLevelType w:val="hybridMultilevel"/>
    <w:tmpl w:val="C2A25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156155"/>
    <w:multiLevelType w:val="hybridMultilevel"/>
    <w:tmpl w:val="A2E0F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4925AB"/>
    <w:multiLevelType w:val="hybridMultilevel"/>
    <w:tmpl w:val="BC5CC562"/>
    <w:lvl w:ilvl="0" w:tplc="7F88089C">
      <w:start w:val="5"/>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D700E6"/>
    <w:multiLevelType w:val="hybridMultilevel"/>
    <w:tmpl w:val="CDD4C906"/>
    <w:lvl w:ilvl="0" w:tplc="D5D4D44A">
      <w:start w:val="2016"/>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A493EB6"/>
    <w:multiLevelType w:val="hybridMultilevel"/>
    <w:tmpl w:val="23EC78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27C4D2D"/>
    <w:multiLevelType w:val="hybridMultilevel"/>
    <w:tmpl w:val="0A4EBB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6BF5117"/>
    <w:multiLevelType w:val="hybridMultilevel"/>
    <w:tmpl w:val="5E707F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6EF1073"/>
    <w:multiLevelType w:val="hybridMultilevel"/>
    <w:tmpl w:val="EB4E9870"/>
    <w:lvl w:ilvl="0" w:tplc="EEC8045E">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C674B6B"/>
    <w:multiLevelType w:val="hybridMultilevel"/>
    <w:tmpl w:val="3D94C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F80EF4"/>
    <w:multiLevelType w:val="hybridMultilevel"/>
    <w:tmpl w:val="A33836D2"/>
    <w:lvl w:ilvl="0" w:tplc="623AAFB0">
      <w:start w:val="1"/>
      <w:numFmt w:val="bullet"/>
      <w:lvlText w:val=""/>
      <w:lvlJc w:val="left"/>
      <w:pPr>
        <w:ind w:left="720" w:hanging="360"/>
      </w:pPr>
      <w:rPr>
        <w:rFonts w:ascii="Symbol" w:hAnsi="Symbol" w:hint="default"/>
        <w:color w:val="3B6B27"/>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CFB00E6"/>
    <w:multiLevelType w:val="hybridMultilevel"/>
    <w:tmpl w:val="60BEE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E945BA"/>
    <w:multiLevelType w:val="hybridMultilevel"/>
    <w:tmpl w:val="572811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A622586"/>
    <w:multiLevelType w:val="hybridMultilevel"/>
    <w:tmpl w:val="B7908DEC"/>
    <w:lvl w:ilvl="0" w:tplc="7F88089C">
      <w:start w:val="20"/>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A032F5"/>
    <w:multiLevelType w:val="hybridMultilevel"/>
    <w:tmpl w:val="51F82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14018D"/>
    <w:multiLevelType w:val="hybridMultilevel"/>
    <w:tmpl w:val="3F5288FE"/>
    <w:lvl w:ilvl="0" w:tplc="0B4CB580">
      <w:start w:val="20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C62D0F"/>
    <w:multiLevelType w:val="hybridMultilevel"/>
    <w:tmpl w:val="AC941E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D735E0"/>
    <w:multiLevelType w:val="hybridMultilevel"/>
    <w:tmpl w:val="2618C9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2F60F2"/>
    <w:multiLevelType w:val="hybridMultilevel"/>
    <w:tmpl w:val="CEBC83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68C5465"/>
    <w:multiLevelType w:val="hybridMultilevel"/>
    <w:tmpl w:val="C8109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0B29DB"/>
    <w:multiLevelType w:val="hybridMultilevel"/>
    <w:tmpl w:val="E2E64E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A89513E"/>
    <w:multiLevelType w:val="hybridMultilevel"/>
    <w:tmpl w:val="ECE6DB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3A0478"/>
    <w:multiLevelType w:val="hybridMultilevel"/>
    <w:tmpl w:val="2312B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D8539B"/>
    <w:multiLevelType w:val="hybridMultilevel"/>
    <w:tmpl w:val="24DE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FF88BF6">
      <w:numFmt w:val="bullet"/>
      <w:lvlText w:val="•"/>
      <w:lvlJc w:val="left"/>
      <w:pPr>
        <w:ind w:left="2160" w:hanging="360"/>
      </w:pPr>
      <w:rPr>
        <w:rFonts w:ascii="Optima LT Std" w:eastAsiaTheme="minorHAnsi" w:hAnsi="Optima LT Std" w:cs="Optima LT Std"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651DB2"/>
    <w:multiLevelType w:val="hybridMultilevel"/>
    <w:tmpl w:val="57E43586"/>
    <w:lvl w:ilvl="0" w:tplc="81F296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A782014"/>
    <w:multiLevelType w:val="hybridMultilevel"/>
    <w:tmpl w:val="D2EC48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96092D"/>
    <w:multiLevelType w:val="hybridMultilevel"/>
    <w:tmpl w:val="6ADC0D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F663FBE"/>
    <w:multiLevelType w:val="hybridMultilevel"/>
    <w:tmpl w:val="59C8D8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8"/>
  </w:num>
  <w:num w:numId="2">
    <w:abstractNumId w:val="13"/>
  </w:num>
  <w:num w:numId="3">
    <w:abstractNumId w:val="8"/>
  </w:num>
  <w:num w:numId="4">
    <w:abstractNumId w:val="0"/>
  </w:num>
  <w:num w:numId="5">
    <w:abstractNumId w:val="29"/>
  </w:num>
  <w:num w:numId="6">
    <w:abstractNumId w:val="11"/>
  </w:num>
  <w:num w:numId="7">
    <w:abstractNumId w:val="16"/>
  </w:num>
  <w:num w:numId="8">
    <w:abstractNumId w:val="32"/>
  </w:num>
  <w:num w:numId="9">
    <w:abstractNumId w:val="12"/>
  </w:num>
  <w:num w:numId="10">
    <w:abstractNumId w:val="5"/>
  </w:num>
  <w:num w:numId="11">
    <w:abstractNumId w:val="7"/>
  </w:num>
  <w:num w:numId="12">
    <w:abstractNumId w:val="27"/>
  </w:num>
  <w:num w:numId="13">
    <w:abstractNumId w:val="19"/>
  </w:num>
  <w:num w:numId="14">
    <w:abstractNumId w:val="6"/>
  </w:num>
  <w:num w:numId="15">
    <w:abstractNumId w:val="25"/>
  </w:num>
  <w:num w:numId="16">
    <w:abstractNumId w:val="4"/>
  </w:num>
  <w:num w:numId="17">
    <w:abstractNumId w:val="30"/>
  </w:num>
  <w:num w:numId="18">
    <w:abstractNumId w:val="28"/>
  </w:num>
  <w:num w:numId="19">
    <w:abstractNumId w:val="2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2"/>
  </w:num>
  <w:num w:numId="28">
    <w:abstractNumId w:val="14"/>
  </w:num>
  <w:num w:numId="29">
    <w:abstractNumId w:val="9"/>
  </w:num>
  <w:num w:numId="30">
    <w:abstractNumId w:val="20"/>
  </w:num>
  <w:num w:numId="31">
    <w:abstractNumId w:val="31"/>
  </w:num>
  <w:num w:numId="32">
    <w:abstractNumId w:val="23"/>
  </w:num>
  <w:num w:numId="33">
    <w:abstractNumId w:val="22"/>
  </w:num>
  <w:num w:numId="34">
    <w:abstractNumId w:val="17"/>
  </w:num>
  <w:num w:numId="35">
    <w:abstractNumId w:val="15"/>
  </w:num>
  <w:num w:numId="36">
    <w:abstractNumId w:val="26"/>
  </w:num>
  <w:num w:numId="37">
    <w:abstractNumId w:val="10"/>
  </w:num>
  <w:num w:numId="38">
    <w:abstractNumId w:val="21"/>
  </w:num>
  <w:num w:numId="39">
    <w:abstractNumId w:val="3"/>
  </w:num>
  <w:num w:numId="40">
    <w:abstractNumId w:val="1"/>
  </w:num>
  <w:num w:numId="41">
    <w:abstractNumId w:val="4"/>
  </w:num>
  <w:num w:numId="42">
    <w:abstractNumId w:val="4"/>
  </w:num>
  <w:num w:numId="43">
    <w:abstractNumId w:val="4"/>
  </w:num>
  <w:num w:numId="4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4FE4"/>
    <w:rsid w:val="00000B05"/>
    <w:rsid w:val="00017316"/>
    <w:rsid w:val="00034F3C"/>
    <w:rsid w:val="000444FA"/>
    <w:rsid w:val="000600C8"/>
    <w:rsid w:val="0006386C"/>
    <w:rsid w:val="00067B39"/>
    <w:rsid w:val="00071AB6"/>
    <w:rsid w:val="000765C2"/>
    <w:rsid w:val="00095EDC"/>
    <w:rsid w:val="00097A9B"/>
    <w:rsid w:val="000E1DDA"/>
    <w:rsid w:val="000F63BF"/>
    <w:rsid w:val="00120EDA"/>
    <w:rsid w:val="0012594E"/>
    <w:rsid w:val="00147413"/>
    <w:rsid w:val="00150E5D"/>
    <w:rsid w:val="00150FDE"/>
    <w:rsid w:val="00154D9B"/>
    <w:rsid w:val="00155C54"/>
    <w:rsid w:val="00166DFB"/>
    <w:rsid w:val="001906A1"/>
    <w:rsid w:val="001D0175"/>
    <w:rsid w:val="0024564B"/>
    <w:rsid w:val="002477B6"/>
    <w:rsid w:val="00261FC0"/>
    <w:rsid w:val="002721B2"/>
    <w:rsid w:val="00293005"/>
    <w:rsid w:val="002B2DE4"/>
    <w:rsid w:val="002C0A60"/>
    <w:rsid w:val="002D0C63"/>
    <w:rsid w:val="002D45A1"/>
    <w:rsid w:val="002F1FA5"/>
    <w:rsid w:val="002F2BB9"/>
    <w:rsid w:val="002F69E5"/>
    <w:rsid w:val="00317B6D"/>
    <w:rsid w:val="00332D84"/>
    <w:rsid w:val="003603BB"/>
    <w:rsid w:val="003762F9"/>
    <w:rsid w:val="003B4E7E"/>
    <w:rsid w:val="003C0985"/>
    <w:rsid w:val="003C379C"/>
    <w:rsid w:val="003C4EF1"/>
    <w:rsid w:val="003C702C"/>
    <w:rsid w:val="003E0E37"/>
    <w:rsid w:val="003F543C"/>
    <w:rsid w:val="00404A77"/>
    <w:rsid w:val="004118DE"/>
    <w:rsid w:val="0041616F"/>
    <w:rsid w:val="004234F2"/>
    <w:rsid w:val="004349E6"/>
    <w:rsid w:val="00443FB2"/>
    <w:rsid w:val="004643E4"/>
    <w:rsid w:val="00475216"/>
    <w:rsid w:val="00495283"/>
    <w:rsid w:val="004C063A"/>
    <w:rsid w:val="004D23AF"/>
    <w:rsid w:val="00566189"/>
    <w:rsid w:val="005770BF"/>
    <w:rsid w:val="00577872"/>
    <w:rsid w:val="005A3855"/>
    <w:rsid w:val="005C6126"/>
    <w:rsid w:val="005D2681"/>
    <w:rsid w:val="005E18CA"/>
    <w:rsid w:val="005F3766"/>
    <w:rsid w:val="005F6739"/>
    <w:rsid w:val="005F68BE"/>
    <w:rsid w:val="006116A8"/>
    <w:rsid w:val="006121CD"/>
    <w:rsid w:val="00624914"/>
    <w:rsid w:val="0063194C"/>
    <w:rsid w:val="00632C7C"/>
    <w:rsid w:val="0063393C"/>
    <w:rsid w:val="00635492"/>
    <w:rsid w:val="00641F99"/>
    <w:rsid w:val="00642E96"/>
    <w:rsid w:val="00650098"/>
    <w:rsid w:val="00663257"/>
    <w:rsid w:val="00671140"/>
    <w:rsid w:val="00677128"/>
    <w:rsid w:val="00686B99"/>
    <w:rsid w:val="006938F7"/>
    <w:rsid w:val="006C1DAC"/>
    <w:rsid w:val="006C221A"/>
    <w:rsid w:val="00700283"/>
    <w:rsid w:val="00711FEB"/>
    <w:rsid w:val="007224C1"/>
    <w:rsid w:val="00725AAF"/>
    <w:rsid w:val="00741433"/>
    <w:rsid w:val="0075484E"/>
    <w:rsid w:val="00754894"/>
    <w:rsid w:val="00757391"/>
    <w:rsid w:val="00762215"/>
    <w:rsid w:val="00763AC4"/>
    <w:rsid w:val="00775FCA"/>
    <w:rsid w:val="0079349D"/>
    <w:rsid w:val="007949DC"/>
    <w:rsid w:val="007A7107"/>
    <w:rsid w:val="007D6D27"/>
    <w:rsid w:val="007F0B11"/>
    <w:rsid w:val="007F58CF"/>
    <w:rsid w:val="0080164D"/>
    <w:rsid w:val="008110FE"/>
    <w:rsid w:val="00814ECD"/>
    <w:rsid w:val="00820361"/>
    <w:rsid w:val="00857CE5"/>
    <w:rsid w:val="00875716"/>
    <w:rsid w:val="008B2089"/>
    <w:rsid w:val="008D521A"/>
    <w:rsid w:val="008F1E9D"/>
    <w:rsid w:val="00904616"/>
    <w:rsid w:val="0091075B"/>
    <w:rsid w:val="00915EA1"/>
    <w:rsid w:val="00933615"/>
    <w:rsid w:val="009431BC"/>
    <w:rsid w:val="00947D0D"/>
    <w:rsid w:val="009775B9"/>
    <w:rsid w:val="00993C7C"/>
    <w:rsid w:val="009B17CD"/>
    <w:rsid w:val="009C542A"/>
    <w:rsid w:val="009C7C5A"/>
    <w:rsid w:val="009D11D4"/>
    <w:rsid w:val="009D2C70"/>
    <w:rsid w:val="009E6D25"/>
    <w:rsid w:val="009F370A"/>
    <w:rsid w:val="00A01A6C"/>
    <w:rsid w:val="00A03491"/>
    <w:rsid w:val="00A225E8"/>
    <w:rsid w:val="00A26582"/>
    <w:rsid w:val="00A36975"/>
    <w:rsid w:val="00A7468F"/>
    <w:rsid w:val="00AB09A9"/>
    <w:rsid w:val="00AB582D"/>
    <w:rsid w:val="00AC3ECD"/>
    <w:rsid w:val="00B077C1"/>
    <w:rsid w:val="00B34EEA"/>
    <w:rsid w:val="00B461B0"/>
    <w:rsid w:val="00B66758"/>
    <w:rsid w:val="00B7159E"/>
    <w:rsid w:val="00B8429B"/>
    <w:rsid w:val="00B9099E"/>
    <w:rsid w:val="00B95EAA"/>
    <w:rsid w:val="00B964E1"/>
    <w:rsid w:val="00BA5AA3"/>
    <w:rsid w:val="00BB6CA6"/>
    <w:rsid w:val="00BC14F4"/>
    <w:rsid w:val="00BC223C"/>
    <w:rsid w:val="00BD6428"/>
    <w:rsid w:val="00BF4FE4"/>
    <w:rsid w:val="00C07000"/>
    <w:rsid w:val="00C07F3E"/>
    <w:rsid w:val="00C33355"/>
    <w:rsid w:val="00C44A3F"/>
    <w:rsid w:val="00C82FCE"/>
    <w:rsid w:val="00C945ED"/>
    <w:rsid w:val="00CB0A2F"/>
    <w:rsid w:val="00CC7001"/>
    <w:rsid w:val="00CD7DEE"/>
    <w:rsid w:val="00CF0947"/>
    <w:rsid w:val="00D07C1F"/>
    <w:rsid w:val="00D65A53"/>
    <w:rsid w:val="00D82FC9"/>
    <w:rsid w:val="00DA12A3"/>
    <w:rsid w:val="00DA7E8A"/>
    <w:rsid w:val="00DD19B1"/>
    <w:rsid w:val="00DD4F6F"/>
    <w:rsid w:val="00DE4E72"/>
    <w:rsid w:val="00DF3651"/>
    <w:rsid w:val="00DF39B6"/>
    <w:rsid w:val="00DF548E"/>
    <w:rsid w:val="00E05489"/>
    <w:rsid w:val="00E06EB3"/>
    <w:rsid w:val="00E07796"/>
    <w:rsid w:val="00E22F6A"/>
    <w:rsid w:val="00E26F5D"/>
    <w:rsid w:val="00E32C3D"/>
    <w:rsid w:val="00E36953"/>
    <w:rsid w:val="00E456B7"/>
    <w:rsid w:val="00E56614"/>
    <w:rsid w:val="00E63644"/>
    <w:rsid w:val="00E80FCD"/>
    <w:rsid w:val="00E846AB"/>
    <w:rsid w:val="00EA1395"/>
    <w:rsid w:val="00EA20C3"/>
    <w:rsid w:val="00ED2128"/>
    <w:rsid w:val="00ED6829"/>
    <w:rsid w:val="00EE731E"/>
    <w:rsid w:val="00F22340"/>
    <w:rsid w:val="00F27C57"/>
    <w:rsid w:val="00F37253"/>
    <w:rsid w:val="00F46523"/>
    <w:rsid w:val="00F46CBB"/>
    <w:rsid w:val="00F47B1E"/>
    <w:rsid w:val="00F71A96"/>
    <w:rsid w:val="00F76D1B"/>
    <w:rsid w:val="00F83964"/>
    <w:rsid w:val="00F871BB"/>
    <w:rsid w:val="00FC3225"/>
    <w:rsid w:val="00FD7B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521B6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AB582D"/>
    <w:pPr>
      <w:keepNext/>
      <w:keepLines/>
      <w:numPr>
        <w:numId w:val="16"/>
      </w:numPr>
      <w:spacing w:after="0"/>
      <w:outlineLvl w:val="0"/>
    </w:pPr>
    <w:rPr>
      <w:rFonts w:asciiTheme="majorHAnsi" w:eastAsiaTheme="majorEastAsia" w:hAnsiTheme="majorHAnsi" w:cstheme="majorBidi"/>
      <w:b/>
      <w:color w:val="2E74B5" w:themeColor="accent1" w:themeShade="BF"/>
      <w:sz w:val="32"/>
      <w:szCs w:val="32"/>
    </w:rPr>
  </w:style>
  <w:style w:type="paragraph" w:styleId="Heading2">
    <w:name w:val="heading 2"/>
    <w:basedOn w:val="Normal"/>
    <w:next w:val="Normal"/>
    <w:link w:val="Heading2Char"/>
    <w:uiPriority w:val="9"/>
    <w:unhideWhenUsed/>
    <w:qFormat/>
    <w:rsid w:val="00495283"/>
    <w:pPr>
      <w:keepNext/>
      <w:keepLines/>
      <w:numPr>
        <w:ilvl w:val="1"/>
        <w:numId w:val="16"/>
      </w:numPr>
      <w:spacing w:after="0"/>
      <w:outlineLvl w:val="1"/>
    </w:pPr>
    <w:rPr>
      <w:rFonts w:asciiTheme="majorHAnsi" w:eastAsiaTheme="majorEastAsia" w:hAnsiTheme="majorHAnsi" w:cstheme="majorBidi"/>
      <w:b/>
      <w:color w:val="2E74B5" w:themeColor="accent1" w:themeShade="BF"/>
      <w:sz w:val="26"/>
      <w:szCs w:val="26"/>
    </w:rPr>
  </w:style>
  <w:style w:type="paragraph" w:styleId="Heading3">
    <w:name w:val="heading 3"/>
    <w:basedOn w:val="Normal"/>
    <w:next w:val="Normal"/>
    <w:link w:val="Heading3Char"/>
    <w:uiPriority w:val="9"/>
    <w:semiHidden/>
    <w:unhideWhenUsed/>
    <w:qFormat/>
    <w:rsid w:val="00B7159E"/>
    <w:pPr>
      <w:keepNext/>
      <w:keepLines/>
      <w:numPr>
        <w:ilvl w:val="2"/>
        <w:numId w:val="16"/>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B7159E"/>
    <w:pPr>
      <w:keepNext/>
      <w:keepLines/>
      <w:numPr>
        <w:ilvl w:val="3"/>
        <w:numId w:val="16"/>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B7159E"/>
    <w:pPr>
      <w:keepNext/>
      <w:keepLines/>
      <w:numPr>
        <w:ilvl w:val="4"/>
        <w:numId w:val="16"/>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B7159E"/>
    <w:pPr>
      <w:keepNext/>
      <w:keepLines/>
      <w:numPr>
        <w:ilvl w:val="5"/>
        <w:numId w:val="16"/>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B7159E"/>
    <w:pPr>
      <w:keepNext/>
      <w:keepLines/>
      <w:numPr>
        <w:ilvl w:val="6"/>
        <w:numId w:val="16"/>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B7159E"/>
    <w:pPr>
      <w:keepNext/>
      <w:keepLines/>
      <w:numPr>
        <w:ilvl w:val="7"/>
        <w:numId w:val="16"/>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7159E"/>
    <w:pPr>
      <w:keepNext/>
      <w:keepLines/>
      <w:numPr>
        <w:ilvl w:val="8"/>
        <w:numId w:val="16"/>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F4FE4"/>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4FE4"/>
  </w:style>
  <w:style w:type="paragraph" w:styleId="Footer">
    <w:name w:val="footer"/>
    <w:basedOn w:val="Normal"/>
    <w:link w:val="FooterChar"/>
    <w:uiPriority w:val="99"/>
    <w:unhideWhenUsed/>
    <w:rsid w:val="00BF4FE4"/>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4FE4"/>
  </w:style>
  <w:style w:type="character" w:customStyle="1" w:styleId="Heading1Char">
    <w:name w:val="Heading 1 Char"/>
    <w:basedOn w:val="DefaultParagraphFont"/>
    <w:link w:val="Heading1"/>
    <w:uiPriority w:val="9"/>
    <w:rsid w:val="00AB582D"/>
    <w:rPr>
      <w:rFonts w:asciiTheme="majorHAnsi" w:eastAsiaTheme="majorEastAsia" w:hAnsiTheme="majorHAnsi" w:cstheme="majorBidi"/>
      <w:b/>
      <w:color w:val="2E74B5" w:themeColor="accent1" w:themeShade="BF"/>
      <w:sz w:val="32"/>
      <w:szCs w:val="32"/>
    </w:rPr>
  </w:style>
  <w:style w:type="paragraph" w:styleId="ListParagraph">
    <w:name w:val="List Paragraph"/>
    <w:basedOn w:val="Normal"/>
    <w:uiPriority w:val="34"/>
    <w:qFormat/>
    <w:rsid w:val="00475216"/>
    <w:pPr>
      <w:ind w:left="720"/>
      <w:contextualSpacing/>
    </w:pPr>
  </w:style>
  <w:style w:type="character" w:styleId="Hyperlink">
    <w:name w:val="Hyperlink"/>
    <w:basedOn w:val="DefaultParagraphFont"/>
    <w:uiPriority w:val="99"/>
    <w:unhideWhenUsed/>
    <w:rsid w:val="003762F9"/>
    <w:rPr>
      <w:color w:val="0563C1" w:themeColor="hyperlink"/>
      <w:u w:val="single"/>
    </w:rPr>
  </w:style>
  <w:style w:type="character" w:customStyle="1" w:styleId="Heading2Char">
    <w:name w:val="Heading 2 Char"/>
    <w:basedOn w:val="DefaultParagraphFont"/>
    <w:link w:val="Heading2"/>
    <w:uiPriority w:val="9"/>
    <w:rsid w:val="00495283"/>
    <w:rPr>
      <w:rFonts w:asciiTheme="majorHAnsi" w:eastAsiaTheme="majorEastAsia" w:hAnsiTheme="majorHAnsi" w:cstheme="majorBidi"/>
      <w:b/>
      <w:color w:val="2E74B5" w:themeColor="accent1" w:themeShade="BF"/>
      <w:sz w:val="26"/>
      <w:szCs w:val="26"/>
    </w:rPr>
  </w:style>
  <w:style w:type="character" w:customStyle="1" w:styleId="Heading3Char">
    <w:name w:val="Heading 3 Char"/>
    <w:basedOn w:val="DefaultParagraphFont"/>
    <w:link w:val="Heading3"/>
    <w:uiPriority w:val="9"/>
    <w:semiHidden/>
    <w:rsid w:val="00B7159E"/>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B7159E"/>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B7159E"/>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B7159E"/>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B7159E"/>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B7159E"/>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7159E"/>
    <w:rPr>
      <w:rFonts w:asciiTheme="majorHAnsi" w:eastAsiaTheme="majorEastAsia" w:hAnsiTheme="majorHAnsi" w:cstheme="majorBidi"/>
      <w:i/>
      <w:iCs/>
      <w:color w:val="272727" w:themeColor="text1" w:themeTint="D8"/>
      <w:sz w:val="21"/>
      <w:szCs w:val="21"/>
    </w:rPr>
  </w:style>
  <w:style w:type="paragraph" w:customStyle="1" w:styleId="Pa27">
    <w:name w:val="Pa27"/>
    <w:basedOn w:val="Normal"/>
    <w:next w:val="Normal"/>
    <w:uiPriority w:val="99"/>
    <w:rsid w:val="00700283"/>
    <w:pPr>
      <w:autoSpaceDE w:val="0"/>
      <w:autoSpaceDN w:val="0"/>
      <w:adjustRightInd w:val="0"/>
      <w:spacing w:after="0" w:line="241" w:lineRule="atLeast"/>
    </w:pPr>
    <w:rPr>
      <w:rFonts w:ascii="Optima LT Std DemiBold" w:hAnsi="Optima LT Std DemiBold"/>
      <w:sz w:val="24"/>
      <w:szCs w:val="24"/>
    </w:rPr>
  </w:style>
  <w:style w:type="paragraph" w:customStyle="1" w:styleId="Default">
    <w:name w:val="Default"/>
    <w:rsid w:val="00ED6829"/>
    <w:pPr>
      <w:autoSpaceDE w:val="0"/>
      <w:autoSpaceDN w:val="0"/>
      <w:adjustRightInd w:val="0"/>
      <w:spacing w:after="0" w:line="240" w:lineRule="auto"/>
    </w:pPr>
    <w:rPr>
      <w:rFonts w:ascii="Arial" w:hAnsi="Arial" w:cs="Arial"/>
      <w:color w:val="000000"/>
      <w:sz w:val="24"/>
      <w:szCs w:val="24"/>
    </w:rPr>
  </w:style>
  <w:style w:type="character" w:styleId="CommentReference">
    <w:name w:val="annotation reference"/>
    <w:basedOn w:val="DefaultParagraphFont"/>
    <w:uiPriority w:val="99"/>
    <w:semiHidden/>
    <w:unhideWhenUsed/>
    <w:rsid w:val="00ED6829"/>
    <w:rPr>
      <w:sz w:val="16"/>
      <w:szCs w:val="16"/>
    </w:rPr>
  </w:style>
  <w:style w:type="paragraph" w:styleId="CommentText">
    <w:name w:val="annotation text"/>
    <w:basedOn w:val="Normal"/>
    <w:link w:val="CommentTextChar"/>
    <w:uiPriority w:val="99"/>
    <w:semiHidden/>
    <w:unhideWhenUsed/>
    <w:rsid w:val="00ED6829"/>
    <w:pPr>
      <w:spacing w:line="240" w:lineRule="auto"/>
    </w:pPr>
    <w:rPr>
      <w:sz w:val="20"/>
      <w:szCs w:val="20"/>
    </w:rPr>
  </w:style>
  <w:style w:type="character" w:customStyle="1" w:styleId="CommentTextChar">
    <w:name w:val="Comment Text Char"/>
    <w:basedOn w:val="DefaultParagraphFont"/>
    <w:link w:val="CommentText"/>
    <w:uiPriority w:val="99"/>
    <w:semiHidden/>
    <w:rsid w:val="00ED6829"/>
    <w:rPr>
      <w:sz w:val="20"/>
      <w:szCs w:val="20"/>
    </w:rPr>
  </w:style>
  <w:style w:type="paragraph" w:styleId="BalloonText">
    <w:name w:val="Balloon Text"/>
    <w:basedOn w:val="Normal"/>
    <w:link w:val="BalloonTextChar"/>
    <w:uiPriority w:val="99"/>
    <w:semiHidden/>
    <w:unhideWhenUsed/>
    <w:rsid w:val="00ED682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6829"/>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12594E"/>
    <w:rPr>
      <w:b/>
      <w:bCs/>
    </w:rPr>
  </w:style>
  <w:style w:type="character" w:customStyle="1" w:styleId="CommentSubjectChar">
    <w:name w:val="Comment Subject Char"/>
    <w:basedOn w:val="CommentTextChar"/>
    <w:link w:val="CommentSubject"/>
    <w:uiPriority w:val="99"/>
    <w:semiHidden/>
    <w:rsid w:val="0012594E"/>
    <w:rPr>
      <w:b/>
      <w:bCs/>
      <w:sz w:val="20"/>
      <w:szCs w:val="20"/>
    </w:rPr>
  </w:style>
  <w:style w:type="paragraph" w:customStyle="1" w:styleId="Pa13">
    <w:name w:val="Pa13"/>
    <w:basedOn w:val="Normal"/>
    <w:next w:val="Normal"/>
    <w:uiPriority w:val="99"/>
    <w:rsid w:val="003C4EF1"/>
    <w:pPr>
      <w:autoSpaceDE w:val="0"/>
      <w:autoSpaceDN w:val="0"/>
      <w:adjustRightInd w:val="0"/>
      <w:spacing w:after="0" w:line="201" w:lineRule="atLeast"/>
    </w:pPr>
    <w:rPr>
      <w:rFonts w:ascii="Optima LT Std DemiBold" w:hAnsi="Optima LT Std DemiBold"/>
      <w:sz w:val="24"/>
      <w:szCs w:val="24"/>
    </w:rPr>
  </w:style>
  <w:style w:type="paragraph" w:styleId="NoSpacing">
    <w:name w:val="No Spacing"/>
    <w:uiPriority w:val="1"/>
    <w:qFormat/>
    <w:rsid w:val="00DA12A3"/>
    <w:pPr>
      <w:spacing w:after="0" w:line="240" w:lineRule="auto"/>
    </w:pPr>
    <w:rPr>
      <w:rFonts w:ascii="Calibri" w:eastAsia="Calibri"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807</Words>
  <Characters>4602</Characters>
  <Application>Microsoft Office Word</Application>
  <DocSecurity>4</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5399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cp:lastPrinted>2015-08-30T12:36:00Z</cp:lastPrinted>
  <dcterms:created xsi:type="dcterms:W3CDTF">2016-09-15T09:06:00Z</dcterms:created>
  <dcterms:modified xsi:type="dcterms:W3CDTF">2016-09-15T09:06:00Z</dcterms:modified>
</cp:coreProperties>
</file>